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0" w:lineRule="atLeast"/>
        <w:ind w:left="560" w:hanging="560"/>
        <w:jc w:val="center"/>
        <w:rPr>
          <w:rFonts w:ascii="Times New Roman" w:eastAsia="華康仿宋體W6(P)" w:hAnsi="Times New Roman" w:cs="華康標楷體(P)"/>
          <w:b/>
          <w:sz w:val="28"/>
        </w:rPr>
      </w:pPr>
      <w:r>
        <w:rPr>
          <w:rFonts w:ascii="Times New Roman" w:eastAsia="華康仿宋體W6(P)" w:hAnsi="Times New Roman" w:cs="華康標楷體(P)" w:hint="eastAsia"/>
          <w:b/>
          <w:sz w:val="28"/>
        </w:rPr>
        <w:t>法鼓文理學院性別平等教育委員會設置要點</w:t>
      </w:r>
    </w:p>
    <w:p>
      <w:pPr>
        <w:snapToGrid w:val="0"/>
        <w:ind w:left="403" w:hanging="403"/>
        <w:jc w:val="right"/>
        <w:rPr>
          <w:rFonts w:ascii="華康仿宋體W6(P)" w:eastAsia="華康仿宋體W6(P)" w:hAnsi="Times New Roman" w:cs="華康標楷體(P)"/>
          <w:sz w:val="20"/>
        </w:rPr>
      </w:pPr>
    </w:p>
    <w:p>
      <w:pPr>
        <w:adjustRightInd w:val="0"/>
        <w:snapToGrid w:val="0"/>
        <w:spacing w:line="240" w:lineRule="exact"/>
        <w:ind w:left="403" w:hanging="403"/>
        <w:jc w:val="right"/>
        <w:rPr>
          <w:rFonts w:ascii="華康仿宋體W6(P)" w:eastAsia="華康仿宋體W6(P)" w:hAnsi="Times New Roman" w:cs="華康標楷體(P)"/>
          <w:sz w:val="20"/>
        </w:rPr>
      </w:pPr>
      <w:r>
        <w:rPr>
          <w:rFonts w:ascii="華康仿宋體W6(P)" w:eastAsia="華康仿宋體W6(P)" w:hAnsi="Times New Roman" w:cs="華康標楷體(P)" w:hint="eastAsia"/>
          <w:sz w:val="20"/>
        </w:rPr>
        <w:t>中華民國96年10月31日96學年度第1次校務會議通過</w:t>
      </w:r>
      <w:r>
        <w:rPr>
          <w:rFonts w:ascii="華康仿宋體W6(P)" w:eastAsia="華康仿宋體W6(P)" w:hAnsi="Times New Roman" w:cs="華康標楷體(P)"/>
          <w:sz w:val="20"/>
        </w:rPr>
        <w:br/>
      </w:r>
      <w:r>
        <w:rPr>
          <w:rFonts w:ascii="華康仿宋體W6(P)" w:eastAsia="華康仿宋體W6(P)" w:hAnsi="Times New Roman" w:cs="華康標楷體(P)" w:hint="eastAsia"/>
          <w:sz w:val="20"/>
        </w:rPr>
        <w:t>中華民國97年08月13日97學年度臨時校務會議修訂通過</w:t>
      </w:r>
      <w:r>
        <w:rPr>
          <w:rFonts w:ascii="華康仿宋體W6(P)" w:eastAsia="華康仿宋體W6(P)" w:hAnsi="Times New Roman" w:cs="華康標楷體(P)"/>
          <w:sz w:val="20"/>
        </w:rPr>
        <w:br/>
      </w:r>
      <w:r>
        <w:rPr>
          <w:rFonts w:ascii="華康仿宋體W6(P)" w:eastAsia="華康仿宋體W6(P)" w:hAnsi="Times New Roman" w:cs="華康標楷體(P)" w:hint="eastAsia"/>
          <w:sz w:val="20"/>
        </w:rPr>
        <w:t>中華民國100年01月12日99學年度第2次校務會議修訂通過</w:t>
      </w:r>
      <w:r>
        <w:rPr>
          <w:rFonts w:ascii="華康仿宋體W6(P)" w:eastAsia="華康仿宋體W6(P)" w:hAnsi="Times New Roman" w:cs="華康標楷體(P)"/>
          <w:sz w:val="20"/>
        </w:rPr>
        <w:br/>
      </w:r>
      <w:r>
        <w:rPr>
          <w:rFonts w:ascii="華康仿宋體W6(P)" w:eastAsia="華康仿宋體W6(P)" w:hAnsi="Times New Roman" w:cs="華康標楷體(P)" w:hint="eastAsia"/>
          <w:sz w:val="20"/>
        </w:rPr>
        <w:t>中華民國103年09月24日103學年度第1次校務會議修訂通過</w:t>
      </w:r>
      <w:r>
        <w:rPr>
          <w:rFonts w:ascii="華康仿宋體W6(P)" w:eastAsia="華康仿宋體W6(P)" w:hAnsi="Times New Roman" w:cs="華康標楷體(P)"/>
          <w:sz w:val="20"/>
        </w:rPr>
        <w:br/>
      </w:r>
      <w:r>
        <w:rPr>
          <w:rFonts w:ascii="華康仿宋體W6(P)" w:eastAsia="華康仿宋體W6(P)" w:hAnsi="Times New Roman" w:cs="華康標楷體(P)" w:hint="eastAsia"/>
          <w:sz w:val="20"/>
        </w:rPr>
        <w:t>中華民國107年04月18日106學年度第3次校務會議修訂通過</w:t>
      </w:r>
      <w:r>
        <w:rPr>
          <w:rFonts w:ascii="華康仿宋體W6(P)" w:eastAsia="華康仿宋體W6(P)" w:hAnsi="Times New Roman" w:cs="華康標楷體(P)"/>
          <w:sz w:val="20"/>
        </w:rPr>
        <w:br/>
      </w:r>
      <w:r>
        <w:rPr>
          <w:rFonts w:ascii="華康仿宋體W6(P)" w:eastAsia="華康仿宋體W6(P)" w:hAnsi="Times New Roman" w:cs="華康標楷體(P)" w:hint="eastAsia"/>
          <w:sz w:val="20"/>
        </w:rPr>
        <w:t>中華民國107年12月26日107學年度第2次校務會議修訂通過</w:t>
      </w:r>
    </w:p>
    <w:p>
      <w:pPr>
        <w:snapToGrid w:val="0"/>
        <w:ind w:left="403" w:hanging="403"/>
        <w:jc w:val="right"/>
        <w:rPr>
          <w:rFonts w:ascii="Times New Roman" w:eastAsia="華康仿宋體W6(P)" w:hAnsi="Times New Roman" w:cs="華康標楷體(P)"/>
        </w:rPr>
      </w:pPr>
    </w:p>
    <w:p>
      <w:pPr>
        <w:pStyle w:val="Web"/>
        <w:adjustRightInd w:val="0"/>
        <w:snapToGrid w:val="0"/>
        <w:spacing w:before="0" w:after="0" w:line="360" w:lineRule="exact"/>
        <w:ind w:left="461" w:hangingChars="192" w:hanging="461"/>
        <w:jc w:val="both"/>
        <w:rPr>
          <w:rFonts w:ascii="Times New Roman" w:eastAsia="華康仿宋體W6(P)" w:hAnsi="Times New Roman" w:cs="華康標楷體(P)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一、為提昇教職員工生性別平權觀念，推動性別平等教育，建立無性別歧視教育環境，防止性侵害及性騷擾事件之發生，以實現性別平等的目標，特依據「性別平等教育法」第</w:t>
      </w:r>
      <w:r>
        <w:rPr>
          <w:rFonts w:ascii="華康仿宋體W6(P)" w:eastAsia="華康仿宋體W6(P)" w:hAnsi="Times New Roman" w:cs="華康標楷體(P)" w:hint="eastAsia"/>
          <w:color w:val="000000"/>
        </w:rPr>
        <w:t>6</w:t>
      </w:r>
      <w:r>
        <w:rPr>
          <w:rFonts w:ascii="Times New Roman" w:eastAsia="華康仿宋體W6(P)" w:hAnsi="Times New Roman" w:cs="華康標楷體(P)" w:hint="eastAsia"/>
          <w:color w:val="000000"/>
        </w:rPr>
        <w:t>條及「法鼓文理學院組織規程」第</w:t>
      </w:r>
      <w:r>
        <w:rPr>
          <w:rFonts w:ascii="華康仿宋體W6(P)" w:eastAsia="華康仿宋體W6(P)" w:hAnsi="Times New Roman" w:cs="華康標楷體(P)" w:hint="eastAsia"/>
          <w:color w:val="000000"/>
        </w:rPr>
        <w:t>30條</w:t>
      </w:r>
      <w:r>
        <w:rPr>
          <w:rFonts w:ascii="Times New Roman" w:eastAsia="華康仿宋體W6(P)" w:hAnsi="Times New Roman" w:cs="華康標楷體(P)" w:hint="eastAsia"/>
          <w:color w:val="000000"/>
        </w:rPr>
        <w:t>之規定，設置「法鼓文理學院性別平等教育委員會」（以下簡稱本委員會）。</w:t>
      </w:r>
    </w:p>
    <w:p>
      <w:pPr>
        <w:pStyle w:val="Web"/>
        <w:adjustRightInd w:val="0"/>
        <w:snapToGrid w:val="0"/>
        <w:spacing w:before="0" w:after="0" w:line="360" w:lineRule="exact"/>
        <w:ind w:left="461" w:hangingChars="192" w:hanging="461"/>
        <w:jc w:val="both"/>
        <w:rPr>
          <w:rFonts w:ascii="Times New Roman" w:eastAsia="華康仿宋體W6(P)" w:hAnsi="Times New Roman" w:cs="華康標楷體(P)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二、本委員會置委員九人，採任期制，以校長為主任委員，本校副校長、學務長、總務長為當然委員，專任教師互推代表二人，職技員工互推代表二人及學生推選代表一人。主任委員得聘校外相關專業領域人員為諮詢顧問。</w:t>
      </w:r>
    </w:p>
    <w:p>
      <w:pPr>
        <w:pStyle w:val="Web"/>
        <w:adjustRightInd w:val="0"/>
        <w:snapToGrid w:val="0"/>
        <w:spacing w:before="0" w:after="0" w:line="360" w:lineRule="exact"/>
        <w:ind w:leftChars="192" w:left="461" w:firstLineChars="6" w:firstLine="14"/>
        <w:jc w:val="both"/>
        <w:rPr>
          <w:rFonts w:ascii="Times New Roman" w:eastAsia="華康仿宋體W6(P)" w:hAnsi="Times New Roman" w:cs="華康標楷體(P)" w:hint="eastAsia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教師代表由教師推選產生</w:t>
      </w:r>
      <w:bookmarkStart w:id="0" w:name="_GoBack"/>
      <w:bookmarkEnd w:id="0"/>
      <w:r>
        <w:rPr>
          <w:rFonts w:ascii="Times New Roman" w:eastAsia="華康仿宋體W6(P)" w:hAnsi="Times New Roman" w:cs="華康標楷體(P)" w:hint="eastAsia"/>
          <w:color w:val="000000"/>
        </w:rPr>
        <w:t>，職技員工代表由職技員工推選產生，學生代表由學生自治組織推選之。</w:t>
      </w:r>
    </w:p>
    <w:p>
      <w:pPr>
        <w:pStyle w:val="Web"/>
        <w:adjustRightInd w:val="0"/>
        <w:snapToGrid w:val="0"/>
        <w:spacing w:before="0" w:after="0" w:line="360" w:lineRule="exact"/>
        <w:ind w:leftChars="192" w:left="461" w:firstLineChars="6" w:firstLine="14"/>
        <w:jc w:val="both"/>
        <w:rPr>
          <w:rFonts w:ascii="Times New Roman" w:eastAsia="華康仿宋體W6(P)" w:hAnsi="Times New Roman" w:cs="華康標楷體(P)" w:hint="eastAsia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女性委員應占委員總數二分之一以上，教師代表及職技員工代表任期二年，期滿得續聘之，學生代表任期一年。</w:t>
      </w:r>
    </w:p>
    <w:p>
      <w:pPr>
        <w:pStyle w:val="Web"/>
        <w:adjustRightInd w:val="0"/>
        <w:snapToGrid w:val="0"/>
        <w:spacing w:before="0" w:after="0" w:line="360" w:lineRule="exact"/>
        <w:ind w:left="461" w:hangingChars="192" w:hanging="461"/>
        <w:jc w:val="both"/>
        <w:rPr>
          <w:rFonts w:ascii="Times New Roman" w:eastAsia="華康仿宋體W6(P)" w:hAnsi="Times New Roman" w:cs="華康標楷體(P)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三、本委員會每學期至少開會一次，由主任委員召集之，並視需要得召開臨時會議。</w:t>
      </w:r>
    </w:p>
    <w:p>
      <w:pPr>
        <w:pStyle w:val="Web"/>
        <w:adjustRightInd w:val="0"/>
        <w:snapToGrid w:val="0"/>
        <w:spacing w:before="0" w:after="0" w:line="360" w:lineRule="exact"/>
        <w:ind w:left="461" w:hangingChars="192" w:hanging="461"/>
        <w:jc w:val="both"/>
        <w:rPr>
          <w:rFonts w:ascii="Times New Roman" w:eastAsia="華康仿宋體W6(P)" w:hAnsi="Times New Roman" w:cs="華康標楷體(P)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四、本委員會之任務如下：</w:t>
      </w:r>
    </w:p>
    <w:p>
      <w:pPr>
        <w:pStyle w:val="Web"/>
        <w:numPr>
          <w:ilvl w:val="0"/>
          <w:numId w:val="2"/>
        </w:numPr>
        <w:tabs>
          <w:tab w:val="num" w:pos="1050"/>
        </w:tabs>
        <w:suppressAutoHyphens w:val="0"/>
        <w:adjustRightInd w:val="0"/>
        <w:snapToGrid w:val="0"/>
        <w:spacing w:before="0" w:after="0" w:line="360" w:lineRule="exact"/>
        <w:ind w:leftChars="200" w:left="1200" w:rightChars="300" w:right="720" w:hangingChars="300" w:hanging="720"/>
        <w:jc w:val="both"/>
        <w:rPr>
          <w:rFonts w:ascii="Times New Roman" w:eastAsia="華康仿宋體W6(P)" w:hAnsi="Times New Roman" w:cs="華康標楷體(P)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統整本校各單位相關資源，擬訂性別平等教育實施計畫，落實並檢視其實施成果。</w:t>
      </w:r>
    </w:p>
    <w:p>
      <w:pPr>
        <w:pStyle w:val="Web"/>
        <w:numPr>
          <w:ilvl w:val="0"/>
          <w:numId w:val="2"/>
        </w:numPr>
        <w:tabs>
          <w:tab w:val="num" w:pos="1050"/>
        </w:tabs>
        <w:suppressAutoHyphens w:val="0"/>
        <w:adjustRightInd w:val="0"/>
        <w:snapToGrid w:val="0"/>
        <w:spacing w:before="0" w:after="0" w:line="360" w:lineRule="exact"/>
        <w:ind w:leftChars="200" w:left="1200" w:rightChars="300" w:right="720" w:hangingChars="300" w:hanging="720"/>
        <w:jc w:val="both"/>
        <w:rPr>
          <w:rFonts w:ascii="Times New Roman" w:eastAsia="華康仿宋體W6(P)" w:hAnsi="Times New Roman" w:cs="華康標楷體(P)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規劃或辦理學生、教職員工及家長性別平等教育相關活動。</w:t>
      </w:r>
    </w:p>
    <w:p>
      <w:pPr>
        <w:pStyle w:val="Web"/>
        <w:numPr>
          <w:ilvl w:val="0"/>
          <w:numId w:val="2"/>
        </w:numPr>
        <w:tabs>
          <w:tab w:val="num" w:pos="854"/>
          <w:tab w:val="num" w:pos="1050"/>
        </w:tabs>
        <w:suppressAutoHyphens w:val="0"/>
        <w:adjustRightInd w:val="0"/>
        <w:snapToGrid w:val="0"/>
        <w:spacing w:before="0" w:after="0" w:line="360" w:lineRule="exact"/>
        <w:ind w:leftChars="200" w:left="1200" w:rightChars="300" w:right="720" w:hangingChars="300" w:hanging="720"/>
        <w:jc w:val="both"/>
        <w:rPr>
          <w:rFonts w:ascii="Times New Roman" w:eastAsia="華康仿宋體W6(P)" w:hAnsi="Times New Roman" w:cs="華康標楷體(P)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研發並推廣性別平等教育之課程、教學及評量。</w:t>
      </w:r>
    </w:p>
    <w:p>
      <w:pPr>
        <w:pStyle w:val="Web"/>
        <w:numPr>
          <w:ilvl w:val="0"/>
          <w:numId w:val="2"/>
        </w:numPr>
        <w:tabs>
          <w:tab w:val="num" w:pos="854"/>
          <w:tab w:val="num" w:pos="1050"/>
        </w:tabs>
        <w:suppressAutoHyphens w:val="0"/>
        <w:adjustRightInd w:val="0"/>
        <w:snapToGrid w:val="0"/>
        <w:spacing w:before="0" w:after="0" w:line="360" w:lineRule="exact"/>
        <w:ind w:leftChars="200" w:left="1200" w:rightChars="300" w:right="720" w:hangingChars="300" w:hanging="720"/>
        <w:jc w:val="both"/>
        <w:rPr>
          <w:rFonts w:ascii="Times New Roman" w:eastAsia="華康仿宋體W6(P)" w:hAnsi="Times New Roman" w:cs="華康標楷體(P)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研擬性別平等教育實施與校園性侵害及性騷擾之防治及處理規定，建立機制，並協調及整合相關資源。</w:t>
      </w:r>
    </w:p>
    <w:p>
      <w:pPr>
        <w:pStyle w:val="Web"/>
        <w:numPr>
          <w:ilvl w:val="0"/>
          <w:numId w:val="2"/>
        </w:numPr>
        <w:tabs>
          <w:tab w:val="num" w:pos="854"/>
          <w:tab w:val="num" w:pos="1050"/>
        </w:tabs>
        <w:suppressAutoHyphens w:val="0"/>
        <w:adjustRightInd w:val="0"/>
        <w:snapToGrid w:val="0"/>
        <w:spacing w:before="0" w:after="0" w:line="360" w:lineRule="exact"/>
        <w:ind w:leftChars="200" w:left="1200" w:rightChars="300" w:right="720" w:hangingChars="300" w:hanging="720"/>
        <w:jc w:val="both"/>
        <w:rPr>
          <w:rFonts w:ascii="Times New Roman" w:eastAsia="華康仿宋體W6(P)" w:hAnsi="Times New Roman" w:cs="華康標楷體(P)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規劃及建立性別平等之安全校園空間。</w:t>
      </w:r>
    </w:p>
    <w:p>
      <w:pPr>
        <w:pStyle w:val="Web"/>
        <w:numPr>
          <w:ilvl w:val="0"/>
          <w:numId w:val="2"/>
        </w:numPr>
        <w:tabs>
          <w:tab w:val="num" w:pos="854"/>
          <w:tab w:val="num" w:pos="1050"/>
        </w:tabs>
        <w:suppressAutoHyphens w:val="0"/>
        <w:adjustRightInd w:val="0"/>
        <w:snapToGrid w:val="0"/>
        <w:spacing w:before="0" w:after="0" w:line="360" w:lineRule="exact"/>
        <w:ind w:leftChars="200" w:left="1200" w:rightChars="300" w:right="720" w:hangingChars="300" w:hanging="720"/>
        <w:jc w:val="both"/>
        <w:rPr>
          <w:rFonts w:ascii="Times New Roman" w:eastAsia="華康仿宋體W6(P)" w:hAnsi="Times New Roman" w:cs="華康標楷體(P)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推動社區有關性別平等之家庭教育與社會教育。</w:t>
      </w:r>
    </w:p>
    <w:p>
      <w:pPr>
        <w:pStyle w:val="Web"/>
        <w:numPr>
          <w:ilvl w:val="0"/>
          <w:numId w:val="2"/>
        </w:numPr>
        <w:tabs>
          <w:tab w:val="num" w:pos="854"/>
          <w:tab w:val="num" w:pos="1050"/>
        </w:tabs>
        <w:suppressAutoHyphens w:val="0"/>
        <w:adjustRightInd w:val="0"/>
        <w:snapToGrid w:val="0"/>
        <w:spacing w:before="0" w:after="0" w:line="360" w:lineRule="exact"/>
        <w:ind w:leftChars="200" w:left="1200" w:rightChars="300" w:right="720" w:hangingChars="300" w:hanging="720"/>
        <w:jc w:val="both"/>
        <w:rPr>
          <w:rFonts w:ascii="Times New Roman" w:eastAsia="華康仿宋體W6(P)" w:hAnsi="Times New Roman" w:cs="華康標楷體(P)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調查及處理與「性別平等教育法」有關之案件。</w:t>
      </w:r>
    </w:p>
    <w:p>
      <w:pPr>
        <w:pStyle w:val="Web"/>
        <w:numPr>
          <w:ilvl w:val="0"/>
          <w:numId w:val="2"/>
        </w:numPr>
        <w:tabs>
          <w:tab w:val="num" w:pos="854"/>
          <w:tab w:val="num" w:pos="1050"/>
        </w:tabs>
        <w:suppressAutoHyphens w:val="0"/>
        <w:adjustRightInd w:val="0"/>
        <w:snapToGrid w:val="0"/>
        <w:spacing w:before="0" w:after="0" w:line="360" w:lineRule="exact"/>
        <w:ind w:leftChars="200" w:left="1200" w:rightChars="300" w:right="720" w:hangingChars="300" w:hanging="720"/>
        <w:jc w:val="both"/>
        <w:rPr>
          <w:rFonts w:ascii="Times New Roman" w:eastAsia="華康仿宋體W6(P)" w:hAnsi="Times New Roman" w:cs="華康標楷體(P)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其他有關本校或社區之性別平等教育事項。</w:t>
      </w:r>
    </w:p>
    <w:p>
      <w:pPr>
        <w:pStyle w:val="Web"/>
        <w:adjustRightInd w:val="0"/>
        <w:snapToGrid w:val="0"/>
        <w:spacing w:before="0" w:after="0" w:line="360" w:lineRule="exact"/>
        <w:ind w:left="461" w:hangingChars="192" w:hanging="461"/>
        <w:jc w:val="both"/>
        <w:rPr>
          <w:rFonts w:ascii="Times New Roman" w:eastAsia="華康仿宋體W6(P)" w:hAnsi="Times New Roman" w:cs="華康標楷體(P)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五、本校秘書室負責調配本委員會工作所需之經費及相關資源，並指定行政人員一</w:t>
      </w:r>
      <w:r>
        <w:rPr>
          <w:rFonts w:ascii="Times New Roman" w:eastAsia="華康仿宋體W6(P)" w:hAnsi="Times New Roman" w:cs="華康標楷體(P)" w:hint="eastAsia"/>
          <w:color w:val="000000"/>
          <w:lang w:eastAsia="zh-HK"/>
        </w:rPr>
        <w:t>人</w:t>
      </w:r>
      <w:r>
        <w:rPr>
          <w:rFonts w:ascii="Times New Roman" w:eastAsia="華康仿宋體W6(P)" w:hAnsi="Times New Roman" w:cs="華康標楷體(P)" w:hint="eastAsia"/>
          <w:color w:val="000000"/>
        </w:rPr>
        <w:t>，承辦本委員會之行政事務。</w:t>
      </w:r>
    </w:p>
    <w:p>
      <w:pPr>
        <w:pStyle w:val="Web"/>
        <w:adjustRightInd w:val="0"/>
        <w:snapToGrid w:val="0"/>
        <w:spacing w:before="0" w:after="0" w:line="360" w:lineRule="exact"/>
        <w:ind w:left="461" w:hangingChars="192" w:hanging="461"/>
        <w:jc w:val="both"/>
        <w:rPr>
          <w:rFonts w:ascii="Times New Roman" w:eastAsia="華康仿宋體W6(P)" w:hAnsi="Times New Roman" w:cs="華康標楷體(P)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六、本校教職員工生遭遇性侵害或性騷擾問題時，得向本委員會提出申請調查及求助，本委員會於正式接獲申請調查案件時，應於一週內成立調查小組，相關規定另依本校「校園性侵害或性騷擾防治辦法」為之。</w:t>
      </w:r>
    </w:p>
    <w:p>
      <w:pPr>
        <w:pStyle w:val="Web"/>
        <w:adjustRightInd w:val="0"/>
        <w:snapToGrid w:val="0"/>
        <w:spacing w:before="0" w:after="0" w:line="360" w:lineRule="exact"/>
        <w:ind w:left="461" w:hangingChars="192" w:hanging="461"/>
        <w:jc w:val="both"/>
        <w:rPr>
          <w:rFonts w:ascii="Times New Roman" w:eastAsia="華康仿宋體W6(P)" w:hAnsi="Times New Roman" w:cs="華康標楷體(P)"/>
          <w:color w:val="000000"/>
        </w:rPr>
      </w:pPr>
      <w:r>
        <w:rPr>
          <w:rFonts w:ascii="Times New Roman" w:eastAsia="華康仿宋體W6(P)" w:hAnsi="Times New Roman" w:cs="華康標楷體(P)" w:hint="eastAsia"/>
          <w:color w:val="000000"/>
        </w:rPr>
        <w:t>七、本要點經校務會議通過，陳請校長核定後公布實施，修正時亦同。</w:t>
      </w:r>
    </w:p>
    <w:p/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標楷體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008A"/>
    <w:multiLevelType w:val="hybridMultilevel"/>
    <w:tmpl w:val="EAA2F0A2"/>
    <w:lvl w:ilvl="0" w:tplc="E81E4B7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242B7B"/>
    <w:multiLevelType w:val="hybridMultilevel"/>
    <w:tmpl w:val="5328827A"/>
    <w:lvl w:ilvl="0" w:tplc="DE8C6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F023694">
      <w:start w:val="1"/>
      <w:numFmt w:val="taiwaneseCountingThousand"/>
      <w:suff w:val="nothing"/>
      <w:lvlText w:val="（%3）"/>
      <w:lvlJc w:val="center"/>
      <w:pPr>
        <w:ind w:left="1350" w:hanging="39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014976-CB22-4F2A-A336-F9BC29D9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aliases w:val=" 字元,字元"/>
    <w:basedOn w:val="a"/>
    <w:qFormat/>
    <w:pPr>
      <w:widowControl/>
      <w:spacing w:before="280" w:after="280"/>
    </w:pPr>
    <w:rPr>
      <w:rFonts w:ascii="新細明體" w:hAnsi="新細明體" w:cs="新細明體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Calibri" w:eastAsia="新細明體" w:hAnsi="Calibri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Calibri" w:eastAsia="新細明體" w:hAnsi="Calibri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SYNNEX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sulien</dc:creator>
  <cp:lastModifiedBy>user</cp:lastModifiedBy>
  <cp:revision>2</cp:revision>
  <dcterms:created xsi:type="dcterms:W3CDTF">2019-03-05T06:09:00Z</dcterms:created>
  <dcterms:modified xsi:type="dcterms:W3CDTF">2019-03-05T06:09:00Z</dcterms:modified>
</cp:coreProperties>
</file>