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2922" w14:textId="77777777" w:rsidR="004C17B2" w:rsidRPr="004C17B2" w:rsidRDefault="004C17B2" w:rsidP="004C17B2">
      <w:pPr>
        <w:pStyle w:val="1"/>
        <w:snapToGrid w:val="0"/>
        <w:spacing w:before="0" w:after="0" w:line="360" w:lineRule="atLeast"/>
        <w:jc w:val="center"/>
        <w:rPr>
          <w:rFonts w:ascii="華康仿宋體W6(P)" w:eastAsia="華康仿宋體W6(P)"/>
          <w:sz w:val="32"/>
          <w:szCs w:val="32"/>
        </w:rPr>
      </w:pPr>
      <w:r w:rsidRPr="004C17B2">
        <w:rPr>
          <w:rFonts w:ascii="華康仿宋體W6(P)" w:eastAsia="華康仿宋體W6(P)" w:hAnsi="華康仿宋體W6(P)" w:cs="Arial" w:hint="eastAsia"/>
          <w:sz w:val="32"/>
          <w:szCs w:val="32"/>
        </w:rPr>
        <w:t>法鼓文理學院學生宿舍住宿公約</w:t>
      </w:r>
    </w:p>
    <w:p w14:paraId="3BC1DBD6" w14:textId="77777777" w:rsidR="004C17B2" w:rsidRPr="004C17B2" w:rsidRDefault="004C17B2" w:rsidP="004C17B2">
      <w:pPr>
        <w:snapToGrid w:val="0"/>
        <w:spacing w:line="360" w:lineRule="atLeast"/>
        <w:jc w:val="right"/>
        <w:rPr>
          <w:rFonts w:ascii="華康仿宋體W6(P)" w:eastAsia="華康仿宋體W6(P)"/>
          <w:sz w:val="16"/>
          <w:szCs w:val="16"/>
        </w:rPr>
      </w:pP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中華民國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104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年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 xml:space="preserve">06 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03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 xml:space="preserve">日　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103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學年度第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5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次學生事務與總務會議通過</w:t>
      </w:r>
    </w:p>
    <w:p w14:paraId="171B7C75" w14:textId="77777777" w:rsidR="004C17B2" w:rsidRDefault="004C17B2" w:rsidP="004C17B2">
      <w:pPr>
        <w:snapToGrid w:val="0"/>
        <w:jc w:val="right"/>
        <w:rPr>
          <w:rFonts w:ascii="華康仿宋體W6(P)" w:eastAsia="華康仿宋體W6(P)" w:hAnsi="華康仿宋體W6(P)" w:cs="Arial"/>
          <w:color w:val="000000" w:themeColor="text1"/>
          <w:sz w:val="16"/>
          <w:szCs w:val="16"/>
        </w:rPr>
      </w:pPr>
      <w:r w:rsidRPr="00874E8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874E8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874E87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874E8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874E87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14:paraId="14825492" w14:textId="396A28B1" w:rsidR="009C2501" w:rsidRPr="00145159" w:rsidRDefault="009C2501" w:rsidP="004C17B2">
      <w:pPr>
        <w:snapToGrid w:val="0"/>
        <w:jc w:val="right"/>
        <w:rPr>
          <w:rFonts w:ascii="華康仿宋體W6(P)" w:eastAsia="華康仿宋體W6(P)"/>
          <w:sz w:val="16"/>
          <w:szCs w:val="16"/>
        </w:rPr>
      </w:pPr>
      <w:bookmarkStart w:id="0" w:name="_GoBack"/>
      <w:r w:rsidRPr="00145159">
        <w:rPr>
          <w:rFonts w:ascii="華康仿宋體W6(P)" w:eastAsia="華康仿宋體W6(P)" w:hAnsi="華康仿宋體W6(P)" w:cs="華康仿宋體W6(P)" w:hint="eastAsia"/>
          <w:sz w:val="16"/>
          <w:szCs w:val="16"/>
          <w:lang w:eastAsia="zh-HK"/>
        </w:rPr>
        <w:t>中華民國</w:t>
      </w:r>
      <w:r w:rsidRPr="00145159">
        <w:rPr>
          <w:rFonts w:ascii="華康仿宋體W6(P)" w:eastAsia="華康仿宋體W6(P)" w:hAnsi="華康仿宋體W6(P)" w:cs="華康仿宋體W6(P)" w:hint="eastAsia"/>
          <w:sz w:val="16"/>
          <w:szCs w:val="16"/>
        </w:rPr>
        <w:t>112</w:t>
      </w:r>
      <w:r w:rsidRPr="00145159">
        <w:rPr>
          <w:rFonts w:ascii="華康仿宋體W6(P)" w:eastAsia="華康仿宋體W6(P)" w:hAnsi="華康仿宋體W6(P)" w:cs="Arial" w:hint="eastAsia"/>
          <w:sz w:val="16"/>
          <w:szCs w:val="16"/>
        </w:rPr>
        <w:t>年12月</w:t>
      </w:r>
      <w:r w:rsidR="00145159" w:rsidRPr="00145159">
        <w:rPr>
          <w:rFonts w:ascii="華康仿宋體W6(P)" w:eastAsia="華康仿宋體W6(P)" w:hAnsi="華康仿宋體W6(P)" w:cs="Arial"/>
          <w:sz w:val="16"/>
          <w:szCs w:val="16"/>
        </w:rPr>
        <w:t>27</w:t>
      </w:r>
      <w:r w:rsidRPr="00145159">
        <w:rPr>
          <w:rFonts w:ascii="華康仿宋體W6(P)" w:eastAsia="華康仿宋體W6(P)" w:hAnsi="華康仿宋體W6(P)" w:cs="Arial" w:hint="eastAsia"/>
          <w:sz w:val="16"/>
          <w:szCs w:val="16"/>
        </w:rPr>
        <w:t>日</w:t>
      </w:r>
      <w:r w:rsidRPr="00145159">
        <w:rPr>
          <w:rFonts w:ascii="華康仿宋體W6(P)" w:eastAsia="華康仿宋體W6(P)" w:hAnsi="華康仿宋體W6(P)" w:cs="華康仿宋體W6(P)" w:hint="eastAsia"/>
          <w:sz w:val="16"/>
          <w:szCs w:val="16"/>
        </w:rPr>
        <w:t>112</w:t>
      </w:r>
      <w:r w:rsidRPr="00145159">
        <w:rPr>
          <w:rFonts w:ascii="華康仿宋體W6(P)" w:eastAsia="華康仿宋體W6(P)" w:hAnsi="華康仿宋體W6(P)" w:cs="Arial" w:hint="eastAsia"/>
          <w:sz w:val="16"/>
          <w:szCs w:val="16"/>
        </w:rPr>
        <w:t>學年度第1次宿委會議修正通過</w:t>
      </w:r>
    </w:p>
    <w:p w14:paraId="66F32420" w14:textId="77777777" w:rsidR="004C17B2" w:rsidRPr="00145159" w:rsidRDefault="004C17B2" w:rsidP="004C17B2">
      <w:pPr>
        <w:snapToGrid w:val="0"/>
        <w:spacing w:line="360" w:lineRule="atLeast"/>
        <w:rPr>
          <w:rFonts w:ascii="華康仿宋體W6(P)" w:eastAsia="華康仿宋體W6(P)" w:hAnsi="華康仿宋體W6(P)" w:cs="華康仿宋體W6(P)"/>
          <w:szCs w:val="24"/>
        </w:rPr>
      </w:pPr>
    </w:p>
    <w:bookmarkEnd w:id="0"/>
    <w:p w14:paraId="18BDDD95" w14:textId="77777777" w:rsidR="004C17B2" w:rsidRPr="00D429FB" w:rsidRDefault="004C17B2" w:rsidP="009C2501">
      <w:pPr>
        <w:pStyle w:val="a3"/>
        <w:numPr>
          <w:ilvl w:val="0"/>
          <w:numId w:val="2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「宿舍」是學校的財產，它不僅是提供住宿者休息睡覺的地方，更是培養共住者合群精神與人格品德的場所。為提供大家一個安寧安適的生活環境，學校除了硬體需不斷改進以滿足大家的需求外，更需要共宿者以和樂無諍、相互尊重、惜福愛物、利人利己及清淨簡樸之精神，遵守下列公約，以維護宿舍之安全及生活品質。</w:t>
      </w:r>
    </w:p>
    <w:p w14:paraId="46EA5D91" w14:textId="77777777" w:rsidR="004C17B2" w:rsidRPr="00D429FB" w:rsidRDefault="004C17B2" w:rsidP="009C2501">
      <w:pPr>
        <w:pStyle w:val="a3"/>
        <w:numPr>
          <w:ilvl w:val="0"/>
          <w:numId w:val="2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建物及公共設施之維護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ab/>
      </w:r>
    </w:p>
    <w:p w14:paraId="2814659C" w14:textId="77777777" w:rsidR="004C17B2" w:rsidRPr="00D429FB" w:rsidRDefault="004C17B2" w:rsidP="009C2501">
      <w:pPr>
        <w:pStyle w:val="32"/>
        <w:numPr>
          <w:ilvl w:val="0"/>
          <w:numId w:val="3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住宿者對宿舍內部所有設備於點收後應妥善保管使用，不得變更原有隔間及固定設施或增設改建。如有修繕之必要，應事先提出修繕申請。</w:t>
      </w:r>
    </w:p>
    <w:p w14:paraId="318AD4A9" w14:textId="77777777" w:rsidR="004C17B2" w:rsidRPr="00D429FB" w:rsidRDefault="004C17B2" w:rsidP="009C2501">
      <w:pPr>
        <w:pStyle w:val="32"/>
        <w:numPr>
          <w:ilvl w:val="0"/>
          <w:numId w:val="3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嚴禁於宿舍內外牆面、門窗及各項設備上釘掛或黏貼物品。</w:t>
      </w:r>
    </w:p>
    <w:p w14:paraId="360D19B5" w14:textId="77777777" w:rsidR="004C17B2" w:rsidRPr="00D429FB" w:rsidRDefault="004C17B2" w:rsidP="009C2501">
      <w:pPr>
        <w:pStyle w:val="32"/>
        <w:numPr>
          <w:ilvl w:val="0"/>
          <w:numId w:val="3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宿舍管理單位每年將定期派員調查宿舍使用情形或檢修，住宿者不得規避、妨礙或拒絕。</w:t>
      </w:r>
    </w:p>
    <w:p w14:paraId="2FA00514" w14:textId="77777777" w:rsidR="004C17B2" w:rsidRPr="00D429FB" w:rsidRDefault="004C17B2" w:rsidP="009C2501">
      <w:pPr>
        <w:pStyle w:val="a3"/>
        <w:numPr>
          <w:ilvl w:val="0"/>
          <w:numId w:val="2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公共安全維護與管制</w:t>
      </w:r>
    </w:p>
    <w:p w14:paraId="28EF9F51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嚴禁在宿舍區存放違禁或易燃危險物品。</w:t>
      </w:r>
    </w:p>
    <w:p w14:paraId="0BBFB21B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慎防火災、竊盜等災害之發生，貴重物品自負保管責任。</w:t>
      </w:r>
    </w:p>
    <w:p w14:paraId="54207AD1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嚴禁於宿舍內食用葷食、檳榔、抽煙、吸毒、賭博、喝酒或其他有違善良風俗之行為。</w:t>
      </w:r>
    </w:p>
    <w:p w14:paraId="7D1488ED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嚴禁私接電源、安裝及使用</w:t>
      </w:r>
      <w:r w:rsidRPr="009C2501">
        <w:rPr>
          <w:rFonts w:ascii="華康仿宋體W6(P)" w:eastAsia="華康仿宋體W6(P)" w:hAnsi="華康仿宋體W6(P)" w:cs="Arial" w:hint="eastAsia"/>
          <w:sz w:val="24"/>
          <w:szCs w:val="24"/>
        </w:rPr>
        <w:t>500W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以上</w:t>
      </w:r>
      <w:r w:rsidRPr="009C2501">
        <w:rPr>
          <w:rFonts w:ascii="華康仿宋體W6(P)" w:eastAsia="華康仿宋體W6(P)" w:hAnsi="華康仿宋體W6(P)" w:cs="Arial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含</w:t>
      </w:r>
      <w:r w:rsidRPr="009C2501">
        <w:rPr>
          <w:rFonts w:ascii="華康仿宋體W6(P)" w:eastAsia="華康仿宋體W6(P)" w:hAnsi="華康仿宋體W6(P)" w:cs="Arial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影響用電安全之電器。</w:t>
      </w:r>
    </w:p>
    <w:p w14:paraId="17D5E69C" w14:textId="77777777" w:rsidR="004C17B2" w:rsidRPr="009C2501" w:rsidRDefault="006A5F1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9C2501">
        <w:rPr>
          <w:rFonts w:ascii="華康仿宋體W6(P)" w:eastAsia="華康仿宋體W6(P)" w:hAnsi="華康仿宋體W6(P)" w:cs="Arial" w:hint="eastAsia"/>
          <w:sz w:val="24"/>
          <w:szCs w:val="24"/>
        </w:rPr>
        <w:t>嚴禁在房間內及住宿區任何燃燒(含燒香、煙供等)行為，烹煮食物可在茶水間。</w:t>
      </w:r>
    </w:p>
    <w:p w14:paraId="03FCA18D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妥善保管個人門禁卡，不得借予他人使用，若有遺失，應立即通報管理單位，避免他人冒用，以確保門禁安全。</w:t>
      </w:r>
    </w:p>
    <w:p w14:paraId="0DCE5E84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確實遵守門禁時間及會客規定，嚴禁擅自留宿他人。</w:t>
      </w:r>
    </w:p>
    <w:p w14:paraId="410C9B96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不得轉讓住宿權及私自變更床位。</w:t>
      </w:r>
    </w:p>
    <w:p w14:paraId="1BB994B9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男女住眾嚴禁進入異性宿舍區域。</w:t>
      </w:r>
    </w:p>
    <w:p w14:paraId="398B3EC5" w14:textId="77777777" w:rsidR="004C17B2" w:rsidRPr="009C2501" w:rsidRDefault="004C17B2" w:rsidP="009C2501">
      <w:pPr>
        <w:pStyle w:val="32"/>
        <w:numPr>
          <w:ilvl w:val="0"/>
          <w:numId w:val="5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離開寢室應關閉電燈及門窗。</w:t>
      </w:r>
    </w:p>
    <w:p w14:paraId="2DF3E2EF" w14:textId="77777777" w:rsidR="004C17B2" w:rsidRPr="00D429FB" w:rsidRDefault="004C17B2" w:rsidP="009C2501">
      <w:pPr>
        <w:pStyle w:val="a3"/>
        <w:numPr>
          <w:ilvl w:val="0"/>
          <w:numId w:val="2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環境寧靜及整潔衛生之維護</w:t>
      </w:r>
    </w:p>
    <w:p w14:paraId="0055BCBA" w14:textId="77777777" w:rsidR="004C17B2" w:rsidRPr="009C2501" w:rsidRDefault="004C17B2" w:rsidP="009C2501">
      <w:pPr>
        <w:pStyle w:val="32"/>
        <w:numPr>
          <w:ilvl w:val="0"/>
          <w:numId w:val="6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不得於公共空間或廊道置放私人物品。</w:t>
      </w:r>
    </w:p>
    <w:p w14:paraId="7435CD23" w14:textId="77777777" w:rsidR="004C17B2" w:rsidRPr="009C2501" w:rsidRDefault="004C17B2" w:rsidP="009C2501">
      <w:pPr>
        <w:pStyle w:val="32"/>
        <w:numPr>
          <w:ilvl w:val="0"/>
          <w:numId w:val="6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個人垃圾需依規定確實做好分類處理並集中置放於指定地點，不得任意傾倒或堆置。</w:t>
      </w:r>
    </w:p>
    <w:p w14:paraId="4F0B9FF1" w14:textId="77777777" w:rsidR="004C17B2" w:rsidRPr="009C2501" w:rsidRDefault="004C17B2" w:rsidP="009C2501">
      <w:pPr>
        <w:pStyle w:val="32"/>
        <w:numPr>
          <w:ilvl w:val="0"/>
          <w:numId w:val="6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嚴禁在宿舍區飼養動物。</w:t>
      </w:r>
    </w:p>
    <w:p w14:paraId="0C03BBE4" w14:textId="77777777" w:rsidR="004C17B2" w:rsidRPr="009C2501" w:rsidRDefault="004C17B2" w:rsidP="009C2501">
      <w:pPr>
        <w:pStyle w:val="32"/>
        <w:numPr>
          <w:ilvl w:val="0"/>
          <w:numId w:val="6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在宿舍區內宜動作輕緩，交談時輕聲細語，不得妨害他人安寧。</w:t>
      </w:r>
    </w:p>
    <w:p w14:paraId="2779FF34" w14:textId="77777777" w:rsidR="004C17B2" w:rsidRPr="009C2501" w:rsidRDefault="004C17B2" w:rsidP="009C2501">
      <w:pPr>
        <w:pStyle w:val="32"/>
        <w:numPr>
          <w:ilvl w:val="0"/>
          <w:numId w:val="6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茶水區依規定使用，不得任意佔用，並於使用後將環境整理乾淨，以免孳生蚊蠅及鼠類。</w:t>
      </w:r>
    </w:p>
    <w:p w14:paraId="0E40439D" w14:textId="77777777" w:rsidR="004C17B2" w:rsidRPr="009C2501" w:rsidRDefault="004C17B2" w:rsidP="009C2501">
      <w:pPr>
        <w:pStyle w:val="32"/>
        <w:numPr>
          <w:ilvl w:val="0"/>
          <w:numId w:val="6"/>
        </w:numPr>
        <w:snapToGrid w:val="0"/>
        <w:spacing w:after="0" w:line="360" w:lineRule="atLeast"/>
        <w:rPr>
          <w:rFonts w:ascii="華康仿宋體W6(P)" w:eastAsia="華康仿宋體W6(P)" w:hAnsi="華康仿宋體W6(P)" w:cs="Arial"/>
          <w:sz w:val="24"/>
          <w:szCs w:val="24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浴廁使用後應隨手保持清潔，潮濕衣物請晾曬於指定地點。</w:t>
      </w:r>
    </w:p>
    <w:p w14:paraId="526E89B8" w14:textId="1AACF3D5" w:rsidR="004C17B2" w:rsidRPr="00D429FB" w:rsidRDefault="004C17B2" w:rsidP="009C2501">
      <w:pPr>
        <w:pStyle w:val="a3"/>
        <w:numPr>
          <w:ilvl w:val="0"/>
          <w:numId w:val="2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lastRenderedPageBreak/>
        <w:t>以上若有違犯，當視情節輕重先行規勸或逕自送交宿委會議懲。</w:t>
      </w:r>
    </w:p>
    <w:p w14:paraId="75A62DB5" w14:textId="0438696F" w:rsidR="004C17B2" w:rsidRPr="00D429FB" w:rsidRDefault="004C17B2" w:rsidP="009C2501">
      <w:pPr>
        <w:pStyle w:val="a3"/>
        <w:numPr>
          <w:ilvl w:val="0"/>
          <w:numId w:val="2"/>
        </w:numPr>
        <w:snapToGrid w:val="0"/>
        <w:spacing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本公約經</w:t>
      </w:r>
      <w:r w:rsidR="009C2501" w:rsidRPr="00145159">
        <w:rPr>
          <w:rFonts w:ascii="華康仿宋體W6(P)" w:eastAsia="華康仿宋體W6(P)" w:hAnsi="華康仿宋體W6(P)" w:cs="Arial" w:hint="eastAsia"/>
          <w:szCs w:val="24"/>
        </w:rPr>
        <w:t>宿委</w:t>
      </w:r>
      <w:r w:rsidRPr="004C17B2">
        <w:rPr>
          <w:rFonts w:ascii="華康仿宋體W6(P)" w:eastAsia="華康仿宋體W6(P)" w:hAnsi="華康仿宋體W6(P)" w:cs="Arial" w:hint="eastAsia"/>
          <w:szCs w:val="24"/>
        </w:rPr>
        <w:t>會</w:t>
      </w:r>
      <w:r w:rsidRPr="00D429FB">
        <w:rPr>
          <w:rFonts w:ascii="華康仿宋體W6(P)" w:eastAsia="華康仿宋體W6(P)" w:hAnsi="華康仿宋體W6(P)" w:cs="Arial" w:hint="eastAsia"/>
          <w:szCs w:val="24"/>
        </w:rPr>
        <w:t>議</w:t>
      </w:r>
      <w:r w:rsidR="009C2501">
        <w:rPr>
          <w:rFonts w:ascii="華康仿宋體W6(P)" w:eastAsia="華康仿宋體W6(P)" w:hAnsi="華康仿宋體W6(P)" w:cs="Arial" w:hint="eastAsia"/>
          <w:szCs w:val="24"/>
        </w:rPr>
        <w:t>審議</w:t>
      </w:r>
      <w:r w:rsidRPr="00D429FB">
        <w:rPr>
          <w:rFonts w:ascii="華康仿宋體W6(P)" w:eastAsia="華康仿宋體W6(P)" w:hAnsi="華康仿宋體W6(P)" w:cs="Arial" w:hint="eastAsia"/>
          <w:szCs w:val="24"/>
        </w:rPr>
        <w:t>通過，</w:t>
      </w:r>
      <w:r w:rsidR="009C2501" w:rsidRPr="00145159">
        <w:rPr>
          <w:rFonts w:ascii="華康仿宋體W6(P)" w:eastAsia="華康仿宋體W6(P)" w:hAnsi="華康仿宋體W6(P)" w:cs="Arial" w:hint="eastAsia"/>
          <w:szCs w:val="24"/>
        </w:rPr>
        <w:t>送學務會議備案</w:t>
      </w:r>
      <w:r w:rsidRPr="00D429FB">
        <w:rPr>
          <w:rFonts w:ascii="華康仿宋體W6(P)" w:eastAsia="華康仿宋體W6(P)" w:hAnsi="華康仿宋體W6(P)" w:cs="Arial" w:hint="eastAsia"/>
          <w:szCs w:val="24"/>
        </w:rPr>
        <w:t>後公布實施，修正時亦同。</w:t>
      </w:r>
    </w:p>
    <w:p w14:paraId="03347F1B" w14:textId="77777777" w:rsidR="008D4E31" w:rsidRPr="004C17B2" w:rsidRDefault="008D4E31"/>
    <w:sectPr w:rsidR="008D4E31" w:rsidRPr="004C17B2" w:rsidSect="004C17B2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54C4" w14:textId="77777777" w:rsidR="007F60B7" w:rsidRDefault="007F60B7" w:rsidP="006A5F12">
      <w:r>
        <w:separator/>
      </w:r>
    </w:p>
  </w:endnote>
  <w:endnote w:type="continuationSeparator" w:id="0">
    <w:p w14:paraId="295AB5F0" w14:textId="77777777" w:rsidR="007F60B7" w:rsidRDefault="007F60B7" w:rsidP="006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46C1" w14:textId="77777777" w:rsidR="007F60B7" w:rsidRDefault="007F60B7" w:rsidP="006A5F12">
      <w:r>
        <w:separator/>
      </w:r>
    </w:p>
  </w:footnote>
  <w:footnote w:type="continuationSeparator" w:id="0">
    <w:p w14:paraId="4A082EB0" w14:textId="77777777" w:rsidR="007F60B7" w:rsidRDefault="007F60B7" w:rsidP="006A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華康仿宋體W6(P)" w:eastAsia="華康仿宋體W6(P)" w:hAnsi="華康仿宋體W6(P)" w:cs="標楷體" w:hint="eastAsia"/>
        <w:spacing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E5914"/>
    <w:multiLevelType w:val="hybridMultilevel"/>
    <w:tmpl w:val="9060549A"/>
    <w:lvl w:ilvl="0" w:tplc="9D343FD0">
      <w:start w:val="1"/>
      <w:numFmt w:val="taiwaneseCountingThousand"/>
      <w:lvlText w:val="(%1)"/>
      <w:lvlJc w:val="left"/>
      <w:pPr>
        <w:ind w:left="640" w:hanging="400"/>
      </w:pPr>
      <w:rPr>
        <w:rFonts w:hAnsi="華康仿宋體W6(P)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A2E3A"/>
    <w:multiLevelType w:val="hybridMultilevel"/>
    <w:tmpl w:val="52166924"/>
    <w:lvl w:ilvl="0" w:tplc="001A3C1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4E23EC"/>
    <w:multiLevelType w:val="hybridMultilevel"/>
    <w:tmpl w:val="52166924"/>
    <w:lvl w:ilvl="0" w:tplc="001A3C1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93635E"/>
    <w:multiLevelType w:val="hybridMultilevel"/>
    <w:tmpl w:val="52166924"/>
    <w:lvl w:ilvl="0" w:tplc="001A3C1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8C15D9C"/>
    <w:multiLevelType w:val="hybridMultilevel"/>
    <w:tmpl w:val="EBF603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2"/>
    <w:rsid w:val="00145159"/>
    <w:rsid w:val="00261F45"/>
    <w:rsid w:val="003333D9"/>
    <w:rsid w:val="00354547"/>
    <w:rsid w:val="004C17B2"/>
    <w:rsid w:val="006A5F12"/>
    <w:rsid w:val="007F60B7"/>
    <w:rsid w:val="00874E87"/>
    <w:rsid w:val="008D4E31"/>
    <w:rsid w:val="009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43301"/>
  <w15:chartTrackingRefBased/>
  <w15:docId w15:val="{E73660C4-9817-47A6-A7A8-3108BFF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B2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C17B2"/>
    <w:pPr>
      <w:keepNext/>
      <w:numPr>
        <w:numId w:val="1"/>
      </w:numPr>
      <w:tabs>
        <w:tab w:val="left" w:pos="432"/>
      </w:tabs>
      <w:spacing w:before="180" w:after="180" w:line="480" w:lineRule="auto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17B2"/>
    <w:rPr>
      <w:rFonts w:ascii="Calibri" w:eastAsia="新細明體" w:hAnsi="Calibri" w:cs="Calibri"/>
      <w:b/>
      <w:bCs/>
      <w:sz w:val="52"/>
      <w:szCs w:val="52"/>
    </w:rPr>
  </w:style>
  <w:style w:type="paragraph" w:customStyle="1" w:styleId="32">
    <w:name w:val="本文縮排 32"/>
    <w:basedOn w:val="a"/>
    <w:rsid w:val="004C17B2"/>
    <w:pPr>
      <w:spacing w:after="120"/>
      <w:ind w:left="480"/>
    </w:pPr>
    <w:rPr>
      <w:sz w:val="16"/>
      <w:szCs w:val="16"/>
    </w:rPr>
  </w:style>
  <w:style w:type="paragraph" w:styleId="a3">
    <w:name w:val="Body Text Indent"/>
    <w:basedOn w:val="a"/>
    <w:link w:val="11"/>
    <w:rsid w:val="004C17B2"/>
    <w:pPr>
      <w:spacing w:after="120"/>
      <w:ind w:left="480"/>
    </w:pPr>
  </w:style>
  <w:style w:type="character" w:customStyle="1" w:styleId="a4">
    <w:name w:val="本文縮排 字元"/>
    <w:basedOn w:val="a0"/>
    <w:uiPriority w:val="99"/>
    <w:semiHidden/>
    <w:rsid w:val="004C17B2"/>
    <w:rPr>
      <w:rFonts w:ascii="Calibri" w:eastAsia="新細明體" w:hAnsi="Calibri" w:cs="Calibri"/>
    </w:rPr>
  </w:style>
  <w:style w:type="character" w:customStyle="1" w:styleId="11">
    <w:name w:val="本文縮排 字元1"/>
    <w:link w:val="a3"/>
    <w:rsid w:val="004C17B2"/>
    <w:rPr>
      <w:rFonts w:ascii="Calibri" w:eastAsia="新細明體" w:hAnsi="Calibri" w:cs="Calibri"/>
    </w:rPr>
  </w:style>
  <w:style w:type="paragraph" w:styleId="a5">
    <w:name w:val="header"/>
    <w:basedOn w:val="a"/>
    <w:link w:val="a6"/>
    <w:uiPriority w:val="99"/>
    <w:unhideWhenUsed/>
    <w:rsid w:val="006A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F1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F12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賴寶秀</cp:lastModifiedBy>
  <cp:revision>2</cp:revision>
  <dcterms:created xsi:type="dcterms:W3CDTF">2024-01-04T10:58:00Z</dcterms:created>
  <dcterms:modified xsi:type="dcterms:W3CDTF">2024-01-04T10:58:00Z</dcterms:modified>
</cp:coreProperties>
</file>