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59" w:rsidRDefault="00F63A59" w:rsidP="00F63A59">
      <w:pPr>
        <w:ind w:firstLine="600"/>
        <w:jc w:val="center"/>
        <w:rPr>
          <w:rFonts w:ascii="華康仿宋體W6(P)" w:hAnsi="華康仿宋體W6(P)"/>
          <w:b/>
        </w:rPr>
      </w:pPr>
    </w:p>
    <w:p w:rsidR="00F63A59" w:rsidRDefault="00F63A59" w:rsidP="00F63A59">
      <w:pPr>
        <w:jc w:val="center"/>
        <w:rPr>
          <w:rFonts w:ascii="華康仿宋體W6(P)" w:hAnsi="華康仿宋體W6(P)"/>
          <w:b/>
        </w:rPr>
      </w:pPr>
    </w:p>
    <w:p w:rsidR="00F63A59" w:rsidRPr="0076526B" w:rsidRDefault="00F63A59" w:rsidP="00F63A59">
      <w:pPr>
        <w:spacing w:line="360" w:lineRule="exact"/>
        <w:jc w:val="center"/>
        <w:rPr>
          <w:rFonts w:ascii="華康仿宋體W6(P)" w:hAnsi="華康仿宋體W6(P)" w:hint="eastAsia"/>
          <w:b/>
          <w:sz w:val="40"/>
          <w:szCs w:val="40"/>
        </w:rPr>
      </w:pPr>
      <w:r w:rsidRPr="0076526B">
        <w:rPr>
          <w:rFonts w:ascii="華康仿宋體W6(P)" w:hAnsi="華康仿宋體W6(P)"/>
          <w:b/>
          <w:sz w:val="40"/>
          <w:szCs w:val="40"/>
        </w:rPr>
        <w:t>法鼓文理學院特殊疾病學生個案管理要點</w:t>
      </w:r>
    </w:p>
    <w:p w:rsidR="0076526B" w:rsidRDefault="0076526B" w:rsidP="00F63A59">
      <w:pPr>
        <w:spacing w:line="360" w:lineRule="exact"/>
        <w:jc w:val="center"/>
        <w:rPr>
          <w:rFonts w:ascii="華康仿宋體W6(P)" w:hAnsi="華康仿宋體W6(P)" w:hint="eastAsia"/>
          <w:sz w:val="20"/>
          <w:szCs w:val="20"/>
        </w:rPr>
      </w:pPr>
      <w:r>
        <w:rPr>
          <w:rFonts w:ascii="華康仿宋體W6(P)" w:hAnsi="華康仿宋體W6(P)" w:hint="eastAsia"/>
          <w:sz w:val="20"/>
          <w:szCs w:val="20"/>
        </w:rPr>
        <w:t xml:space="preserve">                                                   </w:t>
      </w:r>
    </w:p>
    <w:p w:rsidR="0076526B" w:rsidRPr="0076526B" w:rsidRDefault="0076526B" w:rsidP="00F63A59">
      <w:pPr>
        <w:spacing w:line="360" w:lineRule="exact"/>
        <w:jc w:val="center"/>
        <w:rPr>
          <w:rFonts w:ascii="華康仿宋體W6(P)" w:hAnsi="華康仿宋體W6(P)"/>
          <w:sz w:val="20"/>
          <w:szCs w:val="20"/>
        </w:rPr>
      </w:pPr>
      <w:r>
        <w:rPr>
          <w:rFonts w:ascii="華康仿宋體W6(P)" w:hAnsi="華康仿宋體W6(P)" w:hint="eastAsia"/>
          <w:sz w:val="20"/>
          <w:szCs w:val="20"/>
        </w:rPr>
        <w:t xml:space="preserve">                                                   </w:t>
      </w:r>
      <w:bookmarkStart w:id="0" w:name="_GoBack"/>
      <w:bookmarkEnd w:id="0"/>
      <w:r>
        <w:rPr>
          <w:rFonts w:ascii="華康仿宋體W6(P)" w:hAnsi="華康仿宋體W6(P)" w:hint="eastAsia"/>
          <w:sz w:val="20"/>
          <w:szCs w:val="20"/>
        </w:rPr>
        <w:t xml:space="preserve"> </w:t>
      </w:r>
      <w:r w:rsidRPr="0076526B">
        <w:rPr>
          <w:rFonts w:ascii="華康仿宋體W6(P)" w:hAnsi="華康仿宋體W6(P)"/>
          <w:sz w:val="20"/>
          <w:szCs w:val="20"/>
        </w:rPr>
        <w:t>110.09.29行政會議暨因應新型冠狀病毒防護措施會議通過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為維護及加強特殊疾病學生在校就學時的安全與健康，訂定「法鼓文理學院特殊疾病學生個案管理要點」(以下簡稱本要點)。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特殊疾病學生指慢性病未癒需預防再發或協同照護者、傳染疾病需予監測或隔離者、重大疾病需長期追蹤診療者、先天性疾病需長期追蹤照護者、或特殊疾病與狀況者。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透過健檢資料、相關單位轉介、學生自行求助、或校園緊急救護得知前述學生狀況，除法定傳染疾病患者外，在徵得學生同意下，本校保健室列案管理，直到學生病癒超過一學期（不需前往醫院繼續追蹤）、個案拒絕被照護或個案離校時方得結案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個案管理之內容包括個案身心狀況評估與治療情形追蹤、健康指導、病情需要時轉介服務、資料建檔登錄與持續追蹤。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保健室工作人員依個案需要，得向導師及</w:t>
      </w:r>
      <w:r w:rsidRPr="007049E4">
        <w:rPr>
          <w:rFonts w:ascii="華康仿宋體W6(P)" w:hAnsi="華康仿宋體W6(P)"/>
          <w:color w:val="000000" w:themeColor="text1"/>
        </w:rPr>
        <w:t>家長或一親等親屬</w:t>
      </w:r>
      <w:r>
        <w:rPr>
          <w:rFonts w:ascii="華康仿宋體W6(P)" w:hAnsi="華康仿宋體W6(P)"/>
        </w:rPr>
        <w:t>瞭解學生病情與治療狀況；為求學生學習品質與生命安全，必要時得知會相關任課</w:t>
      </w:r>
      <w:r w:rsidRPr="007049E4">
        <w:rPr>
          <w:rFonts w:ascii="華康仿宋體W6(P)" w:hAnsi="華康仿宋體W6(P)"/>
        </w:rPr>
        <w:t>老師，協</w:t>
      </w:r>
      <w:r>
        <w:rPr>
          <w:rFonts w:ascii="華康仿宋體W6(P)" w:hAnsi="華康仿宋體W6(P)" w:cs="華康仿宋體W6(P)"/>
        </w:rPr>
        <w:t>助調整其課業與活動。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個案疾病控制不良或因身體因素影響課業學習時，應依個案病況提供相關醫療資訊和護理指導，以讓個案獲得適宜的醫療照護及加強關懷。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對於具特殊性、長期性、危險性疾病之個案，需定期追蹤並提供護理指導。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對罹患傳染性疾病學生，應依衛生主管機關相關法令辦理，並需經醫師證明已無傳染性後方得返校；返校後應實施個案管理，並提供健康指導與心理支持。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當重大事件發生、個案狀況危及生命時，應依「法鼓文理學院緊急傷病處理要點」給予緊急救護、通知家長、分層通報並紀錄。</w:t>
      </w:r>
    </w:p>
    <w:p w:rsidR="00F63A59" w:rsidRDefault="00F63A59" w:rsidP="00F63A59">
      <w:pPr>
        <w:widowControl w:val="0"/>
        <w:numPr>
          <w:ilvl w:val="0"/>
          <w:numId w:val="1"/>
        </w:numPr>
        <w:spacing w:line="360" w:lineRule="exact"/>
        <w:rPr>
          <w:rFonts w:ascii="華康仿宋體W6(P)" w:hAnsi="華康仿宋體W6(P)"/>
        </w:rPr>
      </w:pPr>
      <w:r>
        <w:rPr>
          <w:rFonts w:ascii="華康仿宋體W6(P)" w:hAnsi="華康仿宋體W6(P)"/>
        </w:rPr>
        <w:t>個案管理過程應尊重學生與</w:t>
      </w:r>
      <w:r w:rsidRPr="007049E4">
        <w:rPr>
          <w:rFonts w:ascii="華康仿宋體W6(P)" w:hAnsi="華康仿宋體W6(P)"/>
          <w:color w:val="000000" w:themeColor="text1"/>
        </w:rPr>
        <w:t>家長或一親等親屬</w:t>
      </w:r>
      <w:r>
        <w:rPr>
          <w:rFonts w:ascii="華康仿宋體W6(P)" w:hAnsi="華康仿宋體W6(P)"/>
        </w:rPr>
        <w:t>之感受，隨時提供支持與協助。</w:t>
      </w:r>
    </w:p>
    <w:p w:rsidR="00F63A59" w:rsidRDefault="00F63A59" w:rsidP="00F63A59">
      <w:pPr>
        <w:spacing w:line="360" w:lineRule="exact"/>
        <w:ind w:left="480" w:hanging="480"/>
        <w:rPr>
          <w:rFonts w:ascii="華康仿宋體W6(P)" w:hAnsi="華康仿宋體W6(P)"/>
        </w:rPr>
      </w:pPr>
      <w:r>
        <w:rPr>
          <w:rFonts w:ascii="華康仿宋體W6(P)" w:hAnsi="華康仿宋體W6(P)"/>
        </w:rPr>
        <w:t>十一、個案資料之蒐集、處理與運用，應遵守「個人資料保護法」之規定，尊重當事人權益，依誠實及信用原則為之。所有資料應予保密，不得無故洩漏，但因應教學、輔導、醫療之需要，經學生之監護人同意或依其他法律規定應予提供者，不在此限。</w:t>
      </w:r>
    </w:p>
    <w:p w:rsidR="00F63A59" w:rsidRDefault="00F63A59" w:rsidP="00F63A59">
      <w:pPr>
        <w:spacing w:line="360" w:lineRule="exact"/>
        <w:ind w:left="480" w:hanging="480"/>
        <w:rPr>
          <w:rFonts w:ascii="華康仿宋體W6(P)" w:hAnsi="華康仿宋體W6(P)"/>
        </w:rPr>
      </w:pPr>
      <w:r>
        <w:rPr>
          <w:rFonts w:ascii="華康仿宋體W6(P)" w:hAnsi="華康仿宋體W6(P)"/>
        </w:rPr>
        <w:t>十二、為維護個案的隱私權，所有建檔資料應有妥善之安全保護措施；檔案資料以密件保存至少七年。</w:t>
      </w:r>
    </w:p>
    <w:p w:rsidR="00F63A59" w:rsidRDefault="00F63A59" w:rsidP="00F63A59">
      <w:pPr>
        <w:spacing w:line="360" w:lineRule="exact"/>
        <w:ind w:left="480" w:hanging="480"/>
        <w:rPr>
          <w:rFonts w:ascii="華康仿宋體W6(P)" w:hAnsi="華康仿宋體W6(P)"/>
        </w:rPr>
      </w:pPr>
      <w:r>
        <w:rPr>
          <w:rFonts w:ascii="華康仿宋體W6(P)" w:hAnsi="華康仿宋體W6(P)"/>
        </w:rPr>
        <w:t>十三、本要點經行政會議通過後，陳請校長核定後公布實施，修正時亦同。</w:t>
      </w:r>
    </w:p>
    <w:p w:rsidR="00A73ABA" w:rsidRPr="00F63A59" w:rsidRDefault="004739EB"/>
    <w:sectPr w:rsidR="00A73ABA" w:rsidRPr="00F63A59" w:rsidSect="00F63A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EB" w:rsidRDefault="004739EB" w:rsidP="002F1624">
      <w:pPr>
        <w:spacing w:line="240" w:lineRule="auto"/>
      </w:pPr>
      <w:r>
        <w:separator/>
      </w:r>
    </w:p>
  </w:endnote>
  <w:endnote w:type="continuationSeparator" w:id="0">
    <w:p w:rsidR="004739EB" w:rsidRDefault="004739EB" w:rsidP="002F1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EB" w:rsidRDefault="004739EB" w:rsidP="002F1624">
      <w:pPr>
        <w:spacing w:line="240" w:lineRule="auto"/>
      </w:pPr>
      <w:r>
        <w:separator/>
      </w:r>
    </w:p>
  </w:footnote>
  <w:footnote w:type="continuationSeparator" w:id="0">
    <w:p w:rsidR="004739EB" w:rsidRDefault="004739EB" w:rsidP="002F1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2F8"/>
    <w:multiLevelType w:val="multilevel"/>
    <w:tmpl w:val="2BF842A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59"/>
    <w:rsid w:val="00023569"/>
    <w:rsid w:val="00082AE3"/>
    <w:rsid w:val="002F1624"/>
    <w:rsid w:val="004739EB"/>
    <w:rsid w:val="007049E4"/>
    <w:rsid w:val="0076526B"/>
    <w:rsid w:val="009F1F7C"/>
    <w:rsid w:val="00DB4B60"/>
    <w:rsid w:val="00F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9"/>
    <w:pPr>
      <w:snapToGrid w:val="0"/>
      <w:spacing w:line="300" w:lineRule="exact"/>
    </w:pPr>
    <w:rPr>
      <w:rFonts w:ascii="標楷體" w:eastAsia="華康仿宋體W6(P)" w:hAnsi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uiPriority w:val="59"/>
    <w:rsid w:val="00F63A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F16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624"/>
    <w:rPr>
      <w:rFonts w:ascii="標楷體" w:eastAsia="華康仿宋體W6(P)" w:hAnsi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6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624"/>
    <w:rPr>
      <w:rFonts w:ascii="標楷體" w:eastAsia="華康仿宋體W6(P)" w:hAnsi="標楷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9"/>
    <w:pPr>
      <w:snapToGrid w:val="0"/>
      <w:spacing w:line="300" w:lineRule="exact"/>
    </w:pPr>
    <w:rPr>
      <w:rFonts w:ascii="標楷體" w:eastAsia="華康仿宋體W6(P)" w:hAnsi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uiPriority w:val="59"/>
    <w:rsid w:val="00F63A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F16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624"/>
    <w:rPr>
      <w:rFonts w:ascii="標楷體" w:eastAsia="華康仿宋體W6(P)" w:hAnsi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6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624"/>
    <w:rPr>
      <w:rFonts w:ascii="標楷體" w:eastAsia="華康仿宋體W6(P)" w:hAnsi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2</cp:revision>
  <dcterms:created xsi:type="dcterms:W3CDTF">2021-12-15T03:14:00Z</dcterms:created>
  <dcterms:modified xsi:type="dcterms:W3CDTF">2021-12-15T03:14:00Z</dcterms:modified>
</cp:coreProperties>
</file>